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56"/>
        <w:tblW w:w="11670" w:type="dxa"/>
        <w:tblLayout w:type="fixed"/>
        <w:tblLook w:val="04A0" w:firstRow="1" w:lastRow="0" w:firstColumn="1" w:lastColumn="0" w:noHBand="0" w:noVBand="1"/>
      </w:tblPr>
      <w:tblGrid>
        <w:gridCol w:w="5670"/>
        <w:gridCol w:w="6000"/>
      </w:tblGrid>
      <w:tr w:rsidR="00CE7581" w:rsidRPr="00F62161" w:rsidTr="00CE7581">
        <w:tc>
          <w:tcPr>
            <w:tcW w:w="11670" w:type="dxa"/>
            <w:gridSpan w:val="2"/>
            <w:tcBorders>
              <w:top w:val="single" w:sz="24" w:space="0" w:color="auto"/>
              <w:left w:val="single" w:sz="24" w:space="0" w:color="auto"/>
              <w:bottom w:val="single" w:sz="4" w:space="0" w:color="auto"/>
              <w:right w:val="single" w:sz="24" w:space="0" w:color="auto"/>
            </w:tcBorders>
            <w:hideMark/>
          </w:tcPr>
          <w:p w:rsidR="00CE7581" w:rsidRPr="00F62161" w:rsidRDefault="00CE7581" w:rsidP="00CE7581">
            <w:pPr>
              <w:jc w:val="center"/>
              <w:rPr>
                <w:color w:val="000000" w:themeColor="text1"/>
                <w:sz w:val="44"/>
              </w:rPr>
            </w:pPr>
            <w:r w:rsidRPr="00F62161">
              <w:rPr>
                <w:color w:val="000000" w:themeColor="text1"/>
                <w:sz w:val="44"/>
              </w:rPr>
              <w:t xml:space="preserve">What is it we expect students to learn?  </w:t>
            </w:r>
          </w:p>
        </w:tc>
      </w:tr>
      <w:tr w:rsidR="00CE7581" w:rsidRPr="00F62161" w:rsidTr="00CE7581">
        <w:tc>
          <w:tcPr>
            <w:tcW w:w="5670" w:type="dxa"/>
            <w:tcBorders>
              <w:top w:val="single" w:sz="4" w:space="0" w:color="auto"/>
              <w:left w:val="single" w:sz="24" w:space="0" w:color="auto"/>
              <w:bottom w:val="single" w:sz="24" w:space="0" w:color="auto"/>
              <w:right w:val="single" w:sz="4" w:space="0" w:color="auto"/>
            </w:tcBorders>
            <w:hideMark/>
          </w:tcPr>
          <w:p w:rsidR="00CE7581" w:rsidRPr="008D1FC4" w:rsidRDefault="00CE7581" w:rsidP="00CE7581">
            <w:pPr>
              <w:rPr>
                <w:b/>
                <w:color w:val="000000" w:themeColor="text1"/>
                <w:sz w:val="40"/>
              </w:rPr>
            </w:pPr>
            <w:r w:rsidRPr="00F62161">
              <w:rPr>
                <w:color w:val="000000" w:themeColor="text1"/>
                <w:sz w:val="40"/>
              </w:rPr>
              <w:t xml:space="preserve">Grade: </w:t>
            </w:r>
            <w:r w:rsidR="008D1FC4">
              <w:rPr>
                <w:b/>
                <w:color w:val="000000" w:themeColor="text1"/>
                <w:sz w:val="40"/>
              </w:rPr>
              <w:t>5</w:t>
            </w:r>
            <w:r w:rsidR="008D1FC4" w:rsidRPr="008D1FC4">
              <w:rPr>
                <w:b/>
                <w:color w:val="000000" w:themeColor="text1"/>
                <w:sz w:val="40"/>
                <w:vertAlign w:val="superscript"/>
              </w:rPr>
              <w:t>th</w:t>
            </w:r>
            <w:r w:rsidRPr="00F62161">
              <w:rPr>
                <w:b/>
                <w:color w:val="000000" w:themeColor="text1"/>
                <w:sz w:val="40"/>
              </w:rPr>
              <w:t xml:space="preserve"> Grade</w:t>
            </w:r>
          </w:p>
        </w:tc>
        <w:tc>
          <w:tcPr>
            <w:tcW w:w="6000" w:type="dxa"/>
            <w:tcBorders>
              <w:top w:val="single" w:sz="4" w:space="0" w:color="auto"/>
              <w:left w:val="single" w:sz="4" w:space="0" w:color="auto"/>
              <w:bottom w:val="single" w:sz="24" w:space="0" w:color="auto"/>
              <w:right w:val="single" w:sz="24" w:space="0" w:color="auto"/>
            </w:tcBorders>
            <w:hideMark/>
          </w:tcPr>
          <w:p w:rsidR="00CE7581" w:rsidRPr="00F62161" w:rsidRDefault="00CE7581" w:rsidP="00CE7581">
            <w:pPr>
              <w:rPr>
                <w:color w:val="000000" w:themeColor="text1"/>
                <w:sz w:val="40"/>
                <w:szCs w:val="40"/>
              </w:rPr>
            </w:pPr>
            <w:r w:rsidRPr="00F62161">
              <w:rPr>
                <w:color w:val="000000" w:themeColor="text1"/>
                <w:sz w:val="40"/>
                <w:szCs w:val="40"/>
              </w:rPr>
              <w:t xml:space="preserve">Subject: </w:t>
            </w:r>
            <w:r w:rsidRPr="00F62161">
              <w:rPr>
                <w:b/>
                <w:color w:val="000000" w:themeColor="text1"/>
                <w:sz w:val="40"/>
                <w:szCs w:val="40"/>
              </w:rPr>
              <w:t>Mathematics</w:t>
            </w:r>
          </w:p>
          <w:p w:rsidR="00CE7581" w:rsidRPr="00F62161" w:rsidRDefault="00CE7581" w:rsidP="00CE7581">
            <w:pPr>
              <w:rPr>
                <w:color w:val="000000" w:themeColor="text1"/>
                <w:sz w:val="44"/>
              </w:rPr>
            </w:pPr>
          </w:p>
        </w:tc>
      </w:tr>
    </w:tbl>
    <w:tbl>
      <w:tblPr>
        <w:tblStyle w:val="TableGrid"/>
        <w:tblW w:w="11700" w:type="dxa"/>
        <w:tblInd w:w="-12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850"/>
        <w:gridCol w:w="5850"/>
      </w:tblGrid>
      <w:tr w:rsidR="00042341" w:rsidTr="00151A4E">
        <w:tc>
          <w:tcPr>
            <w:tcW w:w="5850" w:type="dxa"/>
          </w:tcPr>
          <w:p w:rsidR="00042341" w:rsidRDefault="00042341">
            <w:pPr>
              <w:rPr>
                <w:u w:val="single"/>
              </w:rPr>
            </w:pPr>
            <w:r w:rsidRPr="00042341">
              <w:rPr>
                <w:u w:val="single"/>
              </w:rPr>
              <w:t xml:space="preserve">First Quarter </w:t>
            </w:r>
          </w:p>
          <w:p w:rsidR="008D1FC4" w:rsidRPr="00A176B9" w:rsidRDefault="00197E3D" w:rsidP="008D1FC4">
            <w:pPr>
              <w:rPr>
                <w:b/>
              </w:rPr>
            </w:pPr>
            <w:r>
              <w:rPr>
                <w:b/>
              </w:rPr>
              <w:t>Place Value</w:t>
            </w:r>
            <w:r w:rsidR="008D1FC4">
              <w:rPr>
                <w:b/>
              </w:rPr>
              <w:t>,</w:t>
            </w:r>
            <w:r>
              <w:rPr>
                <w:b/>
              </w:rPr>
              <w:t xml:space="preserve"> Multiplication,</w:t>
            </w:r>
            <w:r w:rsidR="008D1FC4">
              <w:rPr>
                <w:b/>
              </w:rPr>
              <w:t xml:space="preserve"> Decimals</w:t>
            </w:r>
          </w:p>
          <w:p w:rsidR="008D1FC4" w:rsidRDefault="008D1FC4" w:rsidP="008D1FC4">
            <w:pPr>
              <w:rPr>
                <w:u w:val="single"/>
              </w:rPr>
            </w:pPr>
          </w:p>
          <w:p w:rsidR="00197E3D" w:rsidRPr="00C96575" w:rsidRDefault="00197E3D" w:rsidP="00197E3D">
            <w:pPr>
              <w:rPr>
                <w:rFonts w:ascii="Calibri" w:hAnsi="Calibri"/>
                <w:color w:val="000000"/>
              </w:rPr>
            </w:pPr>
            <w:r>
              <w:rPr>
                <w:rFonts w:ascii="Calibri" w:hAnsi="Calibri"/>
                <w:b/>
                <w:color w:val="000000"/>
              </w:rPr>
              <w:t xml:space="preserve">5.OA.A.1 </w:t>
            </w:r>
            <w:r w:rsidRPr="001B59B1">
              <w:rPr>
                <w:rFonts w:ascii="Calibri" w:hAnsi="Calibri"/>
                <w:color w:val="000000"/>
              </w:rPr>
              <w:t>Use parentheses and brackets in numerical expressions, and evaluate expressions with these symbols</w:t>
            </w:r>
          </w:p>
          <w:p w:rsidR="00197E3D" w:rsidRDefault="00197E3D" w:rsidP="00197E3D"/>
          <w:p w:rsidR="008D1FC4" w:rsidRDefault="008D1FC4" w:rsidP="008D1FC4">
            <w:pPr>
              <w:rPr>
                <w:rFonts w:ascii="Calibri" w:hAnsi="Calibri"/>
                <w:color w:val="000000"/>
              </w:rPr>
            </w:pPr>
            <w:r>
              <w:rPr>
                <w:rFonts w:ascii="Calibri" w:hAnsi="Calibri"/>
                <w:b/>
                <w:color w:val="000000"/>
              </w:rPr>
              <w:t xml:space="preserve">5.NBT.B.7 </w:t>
            </w:r>
            <w:r w:rsidRPr="001B59B1">
              <w:rPr>
                <w:rFonts w:ascii="Calibri" w:hAnsi="Calibri"/>
                <w:color w:val="000000"/>
              </w:rPr>
              <w:t xml:space="preserve">Add, subtract, multiply, and divide decimals to hundredths, connecting objects or drawings to strategies based on place value, properties of operations, and/or the </w:t>
            </w:r>
            <w:r>
              <w:rPr>
                <w:rFonts w:ascii="Calibri" w:hAnsi="Calibri"/>
                <w:color w:val="000000"/>
              </w:rPr>
              <w:t>relationship between operations. R</w:t>
            </w:r>
            <w:r w:rsidRPr="001B59B1">
              <w:rPr>
                <w:rFonts w:ascii="Calibri" w:hAnsi="Calibri"/>
                <w:color w:val="000000"/>
              </w:rPr>
              <w:t>elate the strategy to a written form.</w:t>
            </w:r>
          </w:p>
          <w:p w:rsidR="008D1FC4" w:rsidRDefault="008D1FC4" w:rsidP="008D1FC4">
            <w:pPr>
              <w:rPr>
                <w:rFonts w:ascii="Calibri" w:hAnsi="Calibri"/>
                <w:b/>
                <w:color w:val="000000"/>
              </w:rPr>
            </w:pPr>
          </w:p>
          <w:p w:rsidR="00197E3D" w:rsidRDefault="00197E3D" w:rsidP="008D1FC4">
            <w:pPr>
              <w:rPr>
                <w:rFonts w:ascii="Calibri" w:hAnsi="Calibri"/>
                <w:b/>
                <w:color w:val="000000"/>
              </w:rPr>
            </w:pPr>
            <w:r w:rsidRPr="00197E3D">
              <w:rPr>
                <w:rFonts w:ascii="Calibri" w:hAnsi="Calibri"/>
                <w:b/>
                <w:color w:val="000000"/>
              </w:rPr>
              <w:t>5.NBT.B.5</w:t>
            </w:r>
            <w:r>
              <w:rPr>
                <w:rFonts w:ascii="Calibri" w:hAnsi="Calibri"/>
                <w:b/>
                <w:color w:val="000000"/>
              </w:rPr>
              <w:t xml:space="preserve"> </w:t>
            </w:r>
            <w:r w:rsidRPr="00197E3D">
              <w:rPr>
                <w:rFonts w:ascii="Calibri" w:hAnsi="Calibri"/>
                <w:color w:val="000000"/>
              </w:rPr>
              <w:t>Fluently multiply multi-digit whole numbers using a standard algorithm.</w:t>
            </w:r>
          </w:p>
          <w:p w:rsidR="008D1FC4" w:rsidRPr="00042341" w:rsidRDefault="008D1FC4">
            <w:pPr>
              <w:rPr>
                <w:u w:val="single"/>
              </w:rPr>
            </w:pPr>
          </w:p>
          <w:p w:rsidR="00042341" w:rsidRPr="00042341" w:rsidRDefault="008D1FC4" w:rsidP="00042341">
            <w:proofErr w:type="spellStart"/>
            <w:r w:rsidRPr="004969FA">
              <w:rPr>
                <w:u w:val="single"/>
              </w:rPr>
              <w:t>EnVisions</w:t>
            </w:r>
            <w:proofErr w:type="spellEnd"/>
            <w:r>
              <w:t xml:space="preserve"> </w:t>
            </w:r>
            <w:r w:rsidR="00F671A9">
              <w:t xml:space="preserve">1, </w:t>
            </w:r>
            <w:r>
              <w:t xml:space="preserve">2,3, </w:t>
            </w:r>
            <w:r w:rsidR="00D276F5">
              <w:t>4</w:t>
            </w:r>
          </w:p>
        </w:tc>
        <w:tc>
          <w:tcPr>
            <w:tcW w:w="5850" w:type="dxa"/>
          </w:tcPr>
          <w:p w:rsidR="008D1FC4" w:rsidRDefault="00042341">
            <w:pPr>
              <w:rPr>
                <w:u w:val="single"/>
              </w:rPr>
            </w:pPr>
            <w:r w:rsidRPr="00042341">
              <w:rPr>
                <w:u w:val="single"/>
              </w:rPr>
              <w:t xml:space="preserve">Second Quarter </w:t>
            </w:r>
          </w:p>
          <w:p w:rsidR="008D1FC4" w:rsidRPr="008D1FC4" w:rsidRDefault="00042341" w:rsidP="008D1FC4">
            <w:pPr>
              <w:rPr>
                <w:u w:val="single"/>
              </w:rPr>
            </w:pPr>
            <w:r w:rsidRPr="00042341">
              <w:rPr>
                <w:b/>
              </w:rPr>
              <w:t xml:space="preserve"> </w:t>
            </w:r>
            <w:r w:rsidR="008D1FC4">
              <w:rPr>
                <w:b/>
              </w:rPr>
              <w:t>Fractions, Multiplication</w:t>
            </w:r>
            <w:r w:rsidR="00197E3D">
              <w:rPr>
                <w:b/>
              </w:rPr>
              <w:t xml:space="preserve">, Volume </w:t>
            </w:r>
          </w:p>
          <w:p w:rsidR="008D1FC4" w:rsidRDefault="008D1FC4" w:rsidP="008D1FC4">
            <w:pPr>
              <w:rPr>
                <w:u w:val="single"/>
              </w:rPr>
            </w:pPr>
          </w:p>
          <w:p w:rsidR="00197E3D" w:rsidRDefault="00197E3D" w:rsidP="008D1FC4">
            <w:pPr>
              <w:rPr>
                <w:rFonts w:ascii="Calibri" w:hAnsi="Calibri"/>
              </w:rPr>
            </w:pPr>
            <w:r w:rsidRPr="00197E3D">
              <w:rPr>
                <w:rFonts w:ascii="Calibri" w:hAnsi="Calibri"/>
                <w:b/>
              </w:rPr>
              <w:t>5.NF. 1</w:t>
            </w:r>
            <w:r>
              <w:rPr>
                <w:rFonts w:ascii="Calibri" w:hAnsi="Calibri"/>
              </w:rPr>
              <w:t xml:space="preserve"> Add and subtract fractions with unlike denominators (including mixed numbers) by replacing given fractions with equivalent fractions in such a way as to produce an equivalent sum or difference of fractions with like denominators (e.g., 2/3 + 5/4 = 8/12 + 15/12 = 23/12).</w:t>
            </w:r>
          </w:p>
          <w:p w:rsidR="00197E3D" w:rsidRDefault="00197E3D" w:rsidP="008D1FC4">
            <w:pPr>
              <w:rPr>
                <w:b/>
              </w:rPr>
            </w:pPr>
          </w:p>
          <w:p w:rsidR="008D1FC4" w:rsidRDefault="008D1FC4" w:rsidP="008D1FC4">
            <w:pPr>
              <w:rPr>
                <w:rFonts w:ascii="Calibri" w:hAnsi="Calibri"/>
                <w:color w:val="000000"/>
              </w:rPr>
            </w:pPr>
            <w:r>
              <w:rPr>
                <w:b/>
              </w:rPr>
              <w:t xml:space="preserve">5.NF.B.3 </w:t>
            </w:r>
            <w:r w:rsidRPr="001B59B1">
              <w:rPr>
                <w:rFonts w:ascii="Calibri" w:hAnsi="Calibri"/>
                <w:color w:val="000000"/>
              </w:rPr>
              <w:t>Interpret a fraction as the number that results from dividing the whole number numerator by the whole number denominator (a/b = a ÷ b). Solve word problems involving division of whole numbers leading to answers in the form of fractions or mixed numbers.</w:t>
            </w:r>
          </w:p>
          <w:p w:rsidR="008D1FC4" w:rsidRDefault="008D1FC4" w:rsidP="008D1FC4">
            <w:pPr>
              <w:rPr>
                <w:rFonts w:ascii="Calibri" w:hAnsi="Calibri"/>
                <w:color w:val="000000"/>
              </w:rPr>
            </w:pPr>
          </w:p>
          <w:p w:rsidR="008D1FC4" w:rsidRDefault="008D1FC4">
            <w:pPr>
              <w:rPr>
                <w:u w:val="single"/>
              </w:rPr>
            </w:pPr>
          </w:p>
          <w:p w:rsidR="008D1FC4" w:rsidRDefault="008D1FC4">
            <w:pPr>
              <w:rPr>
                <w:u w:val="single"/>
              </w:rPr>
            </w:pPr>
          </w:p>
          <w:p w:rsidR="00042341" w:rsidRPr="00042341" w:rsidRDefault="008D1FC4">
            <w:proofErr w:type="spellStart"/>
            <w:r w:rsidRPr="004969FA">
              <w:rPr>
                <w:u w:val="single"/>
              </w:rPr>
              <w:t>EnVisions</w:t>
            </w:r>
            <w:proofErr w:type="spellEnd"/>
            <w:r>
              <w:t xml:space="preserve"> Topic 5,</w:t>
            </w:r>
            <w:r w:rsidR="00D276F5">
              <w:t>6, 7</w:t>
            </w:r>
            <w:r w:rsidR="00197E3D">
              <w:t>, 10</w:t>
            </w:r>
          </w:p>
        </w:tc>
      </w:tr>
      <w:tr w:rsidR="00042341" w:rsidTr="00151A4E">
        <w:tc>
          <w:tcPr>
            <w:tcW w:w="5850" w:type="dxa"/>
          </w:tcPr>
          <w:p w:rsidR="00042341" w:rsidRDefault="00042341">
            <w:pPr>
              <w:rPr>
                <w:u w:val="single"/>
              </w:rPr>
            </w:pPr>
            <w:r w:rsidRPr="00042341">
              <w:rPr>
                <w:u w:val="single"/>
              </w:rPr>
              <w:t xml:space="preserve">Third Quarter </w:t>
            </w:r>
          </w:p>
          <w:p w:rsidR="008D1FC4" w:rsidRPr="00107AA8" w:rsidRDefault="008D1FC4" w:rsidP="008D1FC4">
            <w:pPr>
              <w:rPr>
                <w:b/>
              </w:rPr>
            </w:pPr>
            <w:r>
              <w:rPr>
                <w:b/>
              </w:rPr>
              <w:t>Operations, Geometry</w:t>
            </w:r>
          </w:p>
          <w:p w:rsidR="008D1FC4" w:rsidRDefault="008D1FC4" w:rsidP="008D1FC4">
            <w:pPr>
              <w:rPr>
                <w:u w:val="single"/>
              </w:rPr>
            </w:pPr>
          </w:p>
          <w:p w:rsidR="008D1FC4" w:rsidRDefault="00A409FA" w:rsidP="008D1FC4">
            <w:pPr>
              <w:rPr>
                <w:rFonts w:ascii="Calibri" w:hAnsi="Calibri"/>
              </w:rPr>
            </w:pPr>
            <w:r w:rsidRPr="00A409FA">
              <w:rPr>
                <w:rFonts w:ascii="Calibri" w:hAnsi="Calibri"/>
                <w:b/>
              </w:rPr>
              <w:t>5. NF. B.4</w:t>
            </w:r>
            <w:r>
              <w:rPr>
                <w:rFonts w:ascii="Calibri" w:hAnsi="Calibri"/>
              </w:rPr>
              <w:t xml:space="preserve"> Apply and extend previous understandings of multiplication to multiply a fraction by a whole number and a fraction by a fraction.</w:t>
            </w:r>
            <w:r>
              <w:rPr>
                <w:rFonts w:ascii="Calibri" w:hAnsi="Calibri"/>
              </w:rPr>
              <w:br/>
            </w:r>
            <w:r>
              <w:rPr>
                <w:rFonts w:ascii="Calibri" w:hAnsi="Calibri"/>
                <w:sz w:val="8"/>
                <w:szCs w:val="8"/>
              </w:rPr>
              <w:br/>
            </w:r>
            <w:r>
              <w:rPr>
                <w:rFonts w:ascii="Calibri" w:hAnsi="Calibri"/>
              </w:rPr>
              <w:t>a. Interpret the product (</w:t>
            </w:r>
            <w:r>
              <w:rPr>
                <w:rFonts w:ascii="Calibri" w:hAnsi="Calibri"/>
                <w:i/>
              </w:rPr>
              <w:t>a/b</w:t>
            </w:r>
            <w:r>
              <w:rPr>
                <w:rFonts w:ascii="Calibri" w:hAnsi="Calibri"/>
              </w:rPr>
              <w:t xml:space="preserve">) x </w:t>
            </w:r>
            <w:r>
              <w:rPr>
                <w:rFonts w:ascii="Calibri" w:hAnsi="Calibri"/>
                <w:i/>
              </w:rPr>
              <w:t>q</w:t>
            </w:r>
            <w:r>
              <w:rPr>
                <w:rFonts w:ascii="Calibri" w:hAnsi="Calibri"/>
              </w:rPr>
              <w:t xml:space="preserve"> as </w:t>
            </w:r>
            <w:r>
              <w:rPr>
                <w:rFonts w:ascii="Calibri" w:hAnsi="Calibri"/>
                <w:i/>
              </w:rPr>
              <w:t>a</w:t>
            </w:r>
            <w:r>
              <w:rPr>
                <w:rFonts w:ascii="Calibri" w:hAnsi="Calibri"/>
              </w:rPr>
              <w:t xml:space="preserve"> </w:t>
            </w:r>
            <w:proofErr w:type="gramStart"/>
            <w:r>
              <w:rPr>
                <w:rFonts w:ascii="Calibri" w:hAnsi="Calibri"/>
              </w:rPr>
              <w:t>parts of a partition</w:t>
            </w:r>
            <w:proofErr w:type="gramEnd"/>
            <w:r>
              <w:rPr>
                <w:rFonts w:ascii="Calibri" w:hAnsi="Calibri"/>
              </w:rPr>
              <w:t xml:space="preserve"> of</w:t>
            </w:r>
            <w:r>
              <w:rPr>
                <w:rFonts w:ascii="Calibri" w:hAnsi="Calibri"/>
                <w:i/>
              </w:rPr>
              <w:t xml:space="preserve"> q</w:t>
            </w:r>
            <w:r>
              <w:rPr>
                <w:rFonts w:ascii="Calibri" w:hAnsi="Calibri"/>
              </w:rPr>
              <w:t xml:space="preserve"> into</w:t>
            </w:r>
            <w:r>
              <w:rPr>
                <w:rFonts w:ascii="Calibri" w:hAnsi="Calibri"/>
                <w:i/>
              </w:rPr>
              <w:t xml:space="preserve"> b</w:t>
            </w:r>
            <w:r>
              <w:rPr>
                <w:rFonts w:ascii="Calibri" w:hAnsi="Calibri"/>
              </w:rPr>
              <w:t xml:space="preserve"> equal parts. </w:t>
            </w:r>
            <w:r>
              <w:rPr>
                <w:rFonts w:ascii="Calibri" w:hAnsi="Calibri"/>
                <w:i/>
                <w:iCs/>
              </w:rPr>
              <w:t>For example, use a visual fraction model to show (2/3) x 4 = 8/3, and create a story context for this equation.</w:t>
            </w:r>
            <w:r>
              <w:rPr>
                <w:rFonts w:ascii="Calibri" w:hAnsi="Calibri"/>
                <w:i/>
                <w:iCs/>
              </w:rPr>
              <w:br/>
            </w:r>
            <w:r>
              <w:rPr>
                <w:rFonts w:ascii="Calibri" w:hAnsi="Calibri"/>
                <w:i/>
                <w:iCs/>
                <w:sz w:val="8"/>
                <w:szCs w:val="8"/>
              </w:rPr>
              <w:br/>
            </w:r>
            <w:r>
              <w:rPr>
                <w:rFonts w:ascii="Calibri" w:hAnsi="Calibri"/>
              </w:rPr>
              <w:t>b. Interpret the product of a fraction multiplied by a fraction (</w:t>
            </w:r>
            <w:r>
              <w:rPr>
                <w:rFonts w:ascii="Calibri" w:hAnsi="Calibri"/>
                <w:i/>
              </w:rPr>
              <w:t>a/b</w:t>
            </w:r>
            <w:r>
              <w:rPr>
                <w:rFonts w:ascii="Calibri" w:hAnsi="Calibri"/>
              </w:rPr>
              <w:t>) x (</w:t>
            </w:r>
            <w:r>
              <w:rPr>
                <w:rFonts w:ascii="Calibri" w:hAnsi="Calibri"/>
                <w:i/>
              </w:rPr>
              <w:t>c/d</w:t>
            </w:r>
            <w:r>
              <w:rPr>
                <w:rFonts w:ascii="Calibri" w:hAnsi="Calibri"/>
              </w:rPr>
              <w:t>).  Use a visual fraction model and create a story context for this equation</w:t>
            </w:r>
            <w:r>
              <w:rPr>
                <w:rFonts w:ascii="Calibri" w:hAnsi="Calibri"/>
                <w:i/>
              </w:rPr>
              <w:t>.    For example, use a visual fraction model to show (2/3) x (4/5) = 8/15, and create a story context for this equation.</w:t>
            </w:r>
            <w:r>
              <w:rPr>
                <w:rFonts w:ascii="Calibri" w:hAnsi="Calibri"/>
              </w:rPr>
              <w:t xml:space="preserve"> In general, (</w:t>
            </w:r>
            <w:r>
              <w:rPr>
                <w:rFonts w:ascii="Calibri" w:hAnsi="Calibri"/>
                <w:i/>
              </w:rPr>
              <w:t>a/b</w:t>
            </w:r>
            <w:r>
              <w:rPr>
                <w:rFonts w:ascii="Calibri" w:hAnsi="Calibri"/>
              </w:rPr>
              <w:t>) x (</w:t>
            </w:r>
            <w:r>
              <w:rPr>
                <w:rFonts w:ascii="Calibri" w:hAnsi="Calibri"/>
                <w:i/>
              </w:rPr>
              <w:t>c/d</w:t>
            </w:r>
            <w:r>
              <w:rPr>
                <w:rFonts w:ascii="Calibri" w:hAnsi="Calibri"/>
              </w:rPr>
              <w:t xml:space="preserve">) = </w:t>
            </w:r>
            <w:r>
              <w:rPr>
                <w:rFonts w:ascii="Calibri" w:hAnsi="Calibri"/>
                <w:i/>
              </w:rPr>
              <w:t>ac/bd</w:t>
            </w:r>
            <w:r>
              <w:rPr>
                <w:rFonts w:ascii="Calibri" w:hAnsi="Calibri"/>
              </w:rPr>
              <w:t>.</w:t>
            </w:r>
            <w:r>
              <w:rPr>
                <w:rFonts w:ascii="Calibri" w:hAnsi="Calibri"/>
              </w:rPr>
              <w:br/>
            </w:r>
            <w:r>
              <w:rPr>
                <w:rFonts w:ascii="Calibri" w:hAnsi="Calibri"/>
                <w:sz w:val="8"/>
                <w:szCs w:val="8"/>
              </w:rPr>
              <w:br/>
            </w:r>
            <w:r>
              <w:rPr>
                <w:rFonts w:ascii="Calibri" w:hAnsi="Calibri"/>
              </w:rPr>
              <w:t>c.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DE297C" w:rsidRDefault="00DE297C" w:rsidP="008D1FC4"/>
          <w:p w:rsidR="00DE297C" w:rsidRPr="001D1022" w:rsidRDefault="00DE297C" w:rsidP="00DE297C">
            <w:pPr>
              <w:pStyle w:val="NoSpacing"/>
              <w:rPr>
                <w:b/>
              </w:rPr>
            </w:pPr>
            <w:r w:rsidRPr="001D1022">
              <w:rPr>
                <w:b/>
              </w:rPr>
              <w:t xml:space="preserve">5.NBT.B.5 – </w:t>
            </w:r>
            <w:r w:rsidRPr="001D1022">
              <w:rPr>
                <w:rFonts w:ascii="Calibri" w:hAnsi="Calibri"/>
                <w:color w:val="000000"/>
              </w:rPr>
              <w:t>Fluently multiply multi-digit whole numbers using a standard algorithm.</w:t>
            </w:r>
          </w:p>
          <w:p w:rsidR="00DE297C" w:rsidRPr="001D1022" w:rsidRDefault="00DE297C" w:rsidP="00DE297C">
            <w:pPr>
              <w:pStyle w:val="NoSpacing"/>
              <w:rPr>
                <w:b/>
              </w:rPr>
            </w:pPr>
          </w:p>
          <w:p w:rsidR="00DE297C" w:rsidRDefault="00DE297C" w:rsidP="00DE297C">
            <w:pPr>
              <w:pStyle w:val="NoSpacing"/>
              <w:rPr>
                <w:rFonts w:ascii="Calibri" w:hAnsi="Calibri"/>
                <w:color w:val="000000"/>
              </w:rPr>
            </w:pPr>
            <w:r w:rsidRPr="001D1022">
              <w:rPr>
                <w:b/>
              </w:rPr>
              <w:t xml:space="preserve">5.NBT.B.6 - </w:t>
            </w:r>
            <w:r w:rsidRPr="001D1022">
              <w:rPr>
                <w:rFonts w:ascii="Calibri" w:hAnsi="Calibri"/>
                <w:color w:val="000000"/>
              </w:rPr>
              <w:t>Apply and extend understanding of division to find whole-number quotients of whole numbers with up to four-digit dividends and two-digit divisors.</w:t>
            </w:r>
          </w:p>
          <w:p w:rsidR="007204A9" w:rsidRDefault="007204A9" w:rsidP="00DE297C">
            <w:pPr>
              <w:pStyle w:val="NoSpacing"/>
              <w:rPr>
                <w:rFonts w:ascii="Calibri" w:hAnsi="Calibri"/>
                <w:color w:val="000000"/>
              </w:rPr>
            </w:pPr>
          </w:p>
          <w:p w:rsidR="007204A9" w:rsidRDefault="007204A9" w:rsidP="007204A9">
            <w:pPr>
              <w:rPr>
                <w:rFonts w:ascii="Calibri" w:hAnsi="Calibri"/>
                <w:color w:val="000000"/>
              </w:rPr>
            </w:pPr>
            <w:r>
              <w:rPr>
                <w:b/>
              </w:rPr>
              <w:t>5.MD.C.3</w:t>
            </w:r>
            <w:r w:rsidRPr="001B59B1">
              <w:rPr>
                <w:rFonts w:ascii="Calibri" w:hAnsi="Calibri"/>
                <w:color w:val="000000"/>
              </w:rPr>
              <w:t xml:space="preserve"> Recognize volume as an attribute of solid figures and understand concepts of volume measurement.</w:t>
            </w:r>
          </w:p>
          <w:p w:rsidR="007204A9" w:rsidRDefault="007204A9"/>
          <w:p w:rsidR="00042341" w:rsidRPr="007C66E8" w:rsidRDefault="008D1FC4">
            <w:proofErr w:type="spellStart"/>
            <w:r w:rsidRPr="004969FA">
              <w:rPr>
                <w:u w:val="single"/>
              </w:rPr>
              <w:t>EnVisions</w:t>
            </w:r>
            <w:proofErr w:type="spellEnd"/>
            <w:r w:rsidRPr="007C66E8">
              <w:t xml:space="preserve"> </w:t>
            </w:r>
            <w:r>
              <w:t>Topic 10, 14, 15, 16</w:t>
            </w:r>
          </w:p>
        </w:tc>
        <w:tc>
          <w:tcPr>
            <w:tcW w:w="5850" w:type="dxa"/>
          </w:tcPr>
          <w:p w:rsidR="00042341" w:rsidRDefault="00042341">
            <w:pPr>
              <w:rPr>
                <w:u w:val="single"/>
              </w:rPr>
            </w:pPr>
            <w:r w:rsidRPr="00042341">
              <w:rPr>
                <w:u w:val="single"/>
              </w:rPr>
              <w:lastRenderedPageBreak/>
              <w:t xml:space="preserve">Fourth Quarter </w:t>
            </w:r>
          </w:p>
          <w:p w:rsidR="008D1FC4" w:rsidRDefault="008D1FC4" w:rsidP="008D1FC4">
            <w:pPr>
              <w:rPr>
                <w:b/>
              </w:rPr>
            </w:pPr>
            <w:r>
              <w:rPr>
                <w:b/>
              </w:rPr>
              <w:t>Geometry</w:t>
            </w:r>
          </w:p>
          <w:p w:rsidR="008D1FC4" w:rsidRDefault="008D1FC4" w:rsidP="008D1FC4">
            <w:pPr>
              <w:rPr>
                <w:b/>
              </w:rPr>
            </w:pPr>
          </w:p>
          <w:p w:rsidR="008D1FC4" w:rsidRPr="00DE3AD5" w:rsidRDefault="008D1FC4" w:rsidP="008D1FC4">
            <w:pPr>
              <w:rPr>
                <w:b/>
              </w:rPr>
            </w:pPr>
            <w:r>
              <w:rPr>
                <w:b/>
              </w:rPr>
              <w:t xml:space="preserve">5.G.B.3 </w:t>
            </w:r>
            <w:r>
              <w:rPr>
                <w:rFonts w:ascii="Calibri" w:hAnsi="Calibri"/>
                <w:color w:val="000000"/>
              </w:rPr>
              <w:t>Understand that attributes belonging to a category of two-dimensional figures also belong to all subcategories of that category.</w:t>
            </w:r>
          </w:p>
          <w:p w:rsidR="00042341" w:rsidRDefault="00042341" w:rsidP="00042341"/>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8D1FC4" w:rsidRDefault="008D1FC4" w:rsidP="00042341">
            <w:pPr>
              <w:rPr>
                <w:u w:val="single"/>
              </w:rPr>
            </w:pPr>
          </w:p>
          <w:p w:rsidR="00042341" w:rsidRPr="00042341" w:rsidRDefault="008D1FC4" w:rsidP="00042341">
            <w:proofErr w:type="spellStart"/>
            <w:r w:rsidRPr="004969FA">
              <w:rPr>
                <w:u w:val="single"/>
              </w:rPr>
              <w:t>EnVisions</w:t>
            </w:r>
            <w:proofErr w:type="spellEnd"/>
            <w:r>
              <w:rPr>
                <w:u w:val="single"/>
              </w:rPr>
              <w:t xml:space="preserve"> 16</w:t>
            </w:r>
          </w:p>
        </w:tc>
      </w:tr>
    </w:tbl>
    <w:p w:rsidR="00042341" w:rsidRDefault="00042341">
      <w:bookmarkStart w:id="0" w:name="_GoBack"/>
      <w:bookmarkEnd w:id="0"/>
    </w:p>
    <w:sectPr w:rsidR="000423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A9" w:rsidRDefault="007204A9" w:rsidP="007077A2">
      <w:pPr>
        <w:spacing w:after="0" w:line="240" w:lineRule="auto"/>
      </w:pPr>
      <w:r>
        <w:separator/>
      </w:r>
    </w:p>
  </w:endnote>
  <w:endnote w:type="continuationSeparator" w:id="0">
    <w:p w:rsidR="007204A9" w:rsidRDefault="007204A9" w:rsidP="0070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A9" w:rsidRDefault="007204A9" w:rsidP="007077A2">
      <w:pPr>
        <w:spacing w:after="0" w:line="240" w:lineRule="auto"/>
      </w:pPr>
      <w:r>
        <w:separator/>
      </w:r>
    </w:p>
  </w:footnote>
  <w:footnote w:type="continuationSeparator" w:id="0">
    <w:p w:rsidR="007204A9" w:rsidRDefault="007204A9" w:rsidP="0070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A9" w:rsidRPr="007077A2" w:rsidRDefault="007204A9" w:rsidP="007077A2">
    <w:pPr>
      <w:pStyle w:val="Header"/>
      <w:jc w:val="center"/>
      <w:rPr>
        <w:sz w:val="40"/>
      </w:rPr>
    </w:pPr>
    <w:r w:rsidRPr="007077A2">
      <w:rPr>
        <w:noProof/>
        <w:color w:val="000000" w:themeColor="text1"/>
        <w:sz w:val="52"/>
      </w:rPr>
      <w:drawing>
        <wp:anchor distT="0" distB="0" distL="114300" distR="114300" simplePos="0" relativeHeight="251659264" behindDoc="1" locked="0" layoutInCell="1" allowOverlap="0" wp14:anchorId="62EF29D5" wp14:editId="0C24B0D1">
          <wp:simplePos x="0" y="0"/>
          <wp:positionH relativeFrom="column">
            <wp:posOffset>-205740</wp:posOffset>
          </wp:positionH>
          <wp:positionV relativeFrom="paragraph">
            <wp:posOffset>3810</wp:posOffset>
          </wp:positionV>
          <wp:extent cx="722630" cy="752277"/>
          <wp:effectExtent l="0" t="0" r="1270" b="0"/>
          <wp:wrapThrough wrapText="bothSides">
            <wp:wrapPolygon edited="0">
              <wp:start x="0" y="0"/>
              <wp:lineTo x="0" y="20797"/>
              <wp:lineTo x="21069" y="20797"/>
              <wp:lineTo x="21069" y="0"/>
              <wp:lineTo x="0" y="0"/>
            </wp:wrapPolygon>
          </wp:wrapThrough>
          <wp:docPr id="1" name="Picture 1" descr="d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752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A2">
      <w:rPr>
        <w:sz w:val="40"/>
      </w:rPr>
      <w:t>Whiteriver Unified School District Essential Standards Quarterly Focus</w:t>
    </w:r>
  </w:p>
  <w:p w:rsidR="007204A9" w:rsidRDefault="00720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1"/>
    <w:rsid w:val="00042341"/>
    <w:rsid w:val="00151A4E"/>
    <w:rsid w:val="00197E3D"/>
    <w:rsid w:val="004054F5"/>
    <w:rsid w:val="004969FA"/>
    <w:rsid w:val="007009F3"/>
    <w:rsid w:val="007077A2"/>
    <w:rsid w:val="007204A9"/>
    <w:rsid w:val="007C66E8"/>
    <w:rsid w:val="008D1FC4"/>
    <w:rsid w:val="00920C03"/>
    <w:rsid w:val="00943668"/>
    <w:rsid w:val="0096096D"/>
    <w:rsid w:val="00A409FA"/>
    <w:rsid w:val="00A57542"/>
    <w:rsid w:val="00B43A47"/>
    <w:rsid w:val="00CC5EDC"/>
    <w:rsid w:val="00CE7581"/>
    <w:rsid w:val="00D276F5"/>
    <w:rsid w:val="00DE297C"/>
    <w:rsid w:val="00F6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104D"/>
  <w15:chartTrackingRefBased/>
  <w15:docId w15:val="{78A639C8-3FF8-4948-A3B6-2BB3910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A2"/>
  </w:style>
  <w:style w:type="paragraph" w:styleId="Footer">
    <w:name w:val="footer"/>
    <w:basedOn w:val="Normal"/>
    <w:link w:val="FooterChar"/>
    <w:uiPriority w:val="99"/>
    <w:unhideWhenUsed/>
    <w:rsid w:val="0070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A2"/>
  </w:style>
  <w:style w:type="paragraph" w:styleId="NoSpacing">
    <w:name w:val="No Spacing"/>
    <w:uiPriority w:val="1"/>
    <w:qFormat/>
    <w:rsid w:val="00DE2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Warwick</dc:creator>
  <cp:keywords/>
  <dc:description/>
  <cp:lastModifiedBy>Virginia Warwick</cp:lastModifiedBy>
  <cp:revision>3</cp:revision>
  <dcterms:created xsi:type="dcterms:W3CDTF">2022-07-20T15:47:00Z</dcterms:created>
  <dcterms:modified xsi:type="dcterms:W3CDTF">2022-07-21T14:41:00Z</dcterms:modified>
</cp:coreProperties>
</file>